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EEA4" w14:textId="4EA0414F" w:rsidR="00217C75" w:rsidRDefault="590E989A" w:rsidP="63358433">
      <w:pPr>
        <w:jc w:val="center"/>
        <w:rPr>
          <w:sz w:val="32"/>
          <w:szCs w:val="32"/>
        </w:rPr>
      </w:pPr>
      <w:bookmarkStart w:id="0" w:name="_Int_qNZnEx2R"/>
      <w:r w:rsidRPr="30D3FFAD">
        <w:rPr>
          <w:sz w:val="28"/>
          <w:szCs w:val="28"/>
        </w:rPr>
        <w:t xml:space="preserve">Nanopore </w:t>
      </w:r>
      <w:r w:rsidR="63358433" w:rsidRPr="30D3FFAD">
        <w:rPr>
          <w:sz w:val="28"/>
          <w:szCs w:val="28"/>
        </w:rPr>
        <w:t>Plasmid Sequencing Results – Quick Guide</w:t>
      </w:r>
      <w:bookmarkEnd w:id="0"/>
    </w:p>
    <w:p w14:paraId="7F327A79" w14:textId="6B152F5F" w:rsidR="63358433" w:rsidRDefault="5C8919FF">
      <w:r>
        <w:t>This is a quick guide to interpreting your plasmid assembly results. The aim is to provide a brief overview of the sequencing output data and to highlight some of the most useful files. It also shows some examples of how to compare sequencing results to a plasmid reference map.</w:t>
      </w:r>
    </w:p>
    <w:p w14:paraId="71EB2B90" w14:textId="0E8B7D48" w:rsidR="63358433" w:rsidRDefault="5C8919FF" w:rsidP="63358433">
      <w:r>
        <w:t>The guide briefly explains the following:</w:t>
      </w:r>
    </w:p>
    <w:p w14:paraId="63A60EFF" w14:textId="1A3C0EA2" w:rsidR="63358433" w:rsidRDefault="63358433" w:rsidP="63358433">
      <w:pPr>
        <w:pStyle w:val="ListParagraph"/>
        <w:numPr>
          <w:ilvl w:val="0"/>
          <w:numId w:val="3"/>
        </w:numPr>
      </w:pPr>
      <w:r>
        <w:t>How the data is produced and processed</w:t>
      </w:r>
    </w:p>
    <w:p w14:paraId="3EA11C2B" w14:textId="57F91D30" w:rsidR="63358433" w:rsidRDefault="63358433" w:rsidP="63358433">
      <w:pPr>
        <w:pStyle w:val="ListParagraph"/>
        <w:numPr>
          <w:ilvl w:val="0"/>
          <w:numId w:val="3"/>
        </w:numPr>
      </w:pPr>
      <w:r>
        <w:t>Overview of output data</w:t>
      </w:r>
    </w:p>
    <w:p w14:paraId="5F8069EF" w14:textId="1D7564E2" w:rsidR="63358433" w:rsidRDefault="63358433" w:rsidP="63358433">
      <w:pPr>
        <w:pStyle w:val="ListParagraph"/>
        <w:numPr>
          <w:ilvl w:val="0"/>
          <w:numId w:val="3"/>
        </w:numPr>
      </w:pPr>
      <w:r>
        <w:t>The assembly report</w:t>
      </w:r>
    </w:p>
    <w:p w14:paraId="0BD3FA96" w14:textId="675AAF3F" w:rsidR="63358433" w:rsidRDefault="63358433" w:rsidP="63358433">
      <w:pPr>
        <w:pStyle w:val="ListParagraph"/>
        <w:numPr>
          <w:ilvl w:val="0"/>
          <w:numId w:val="3"/>
        </w:numPr>
      </w:pPr>
      <w:r>
        <w:t>The sequence assembly (FASTA file)</w:t>
      </w:r>
    </w:p>
    <w:p w14:paraId="74F3FC0F" w14:textId="5344FA93" w:rsidR="63358433" w:rsidRDefault="63358433" w:rsidP="63358433">
      <w:pPr>
        <w:pStyle w:val="ListParagraph"/>
        <w:numPr>
          <w:ilvl w:val="0"/>
          <w:numId w:val="3"/>
        </w:numPr>
      </w:pPr>
      <w:r>
        <w:t>Read mapping (bam file)</w:t>
      </w:r>
    </w:p>
    <w:p w14:paraId="7CE54EC0" w14:textId="26D0452F" w:rsidR="63358433" w:rsidRDefault="63358433" w:rsidP="63358433">
      <w:pPr>
        <w:rPr>
          <w:b/>
          <w:bCs/>
          <w:sz w:val="24"/>
          <w:szCs w:val="24"/>
        </w:rPr>
      </w:pPr>
    </w:p>
    <w:p w14:paraId="16ACC758" w14:textId="5E1986DF" w:rsidR="00217C75" w:rsidRDefault="63358433" w:rsidP="633584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63358433">
        <w:rPr>
          <w:b/>
          <w:bCs/>
          <w:sz w:val="24"/>
          <w:szCs w:val="24"/>
        </w:rPr>
        <w:t>How the data is produced and processed</w:t>
      </w:r>
    </w:p>
    <w:p w14:paraId="23D2708D" w14:textId="48E78682" w:rsidR="00217C75" w:rsidRDefault="5C8919FF" w:rsidP="30D3FFAD">
      <w:pPr>
        <w:rPr>
          <w:rFonts w:eastAsiaTheme="minorEastAsia"/>
        </w:rPr>
      </w:pPr>
      <w:r w:rsidRPr="30D3FFAD">
        <w:rPr>
          <w:rFonts w:eastAsiaTheme="minorEastAsia"/>
          <w:color w:val="000000" w:themeColor="text1"/>
        </w:rPr>
        <w:t xml:space="preserve">Samples are sequenced using the Nanopore Rapid Barcoding Kit 96 V14 (SQK-RBK114.96), on MinION R10.4.1 (FLO-MIN114) </w:t>
      </w:r>
      <w:proofErr w:type="spellStart"/>
      <w:r w:rsidRPr="30D3FFAD">
        <w:rPr>
          <w:rFonts w:eastAsiaTheme="minorEastAsia"/>
          <w:color w:val="000000" w:themeColor="text1"/>
        </w:rPr>
        <w:t>flowcells</w:t>
      </w:r>
      <w:proofErr w:type="spellEnd"/>
      <w:r w:rsidRPr="30D3FFAD">
        <w:rPr>
          <w:rFonts w:eastAsiaTheme="minorEastAsia"/>
          <w:color w:val="000000" w:themeColor="text1"/>
        </w:rPr>
        <w:t xml:space="preserve">, using the MinION device. This is a nice video on how Nanopore sequencing works - </w:t>
      </w:r>
      <w:hyperlink r:id="rId8">
        <w:r w:rsidRPr="30D3FFAD">
          <w:rPr>
            <w:rStyle w:val="Hyperlink"/>
            <w:rFonts w:eastAsiaTheme="minorEastAsia"/>
          </w:rPr>
          <w:t>https://nanoporetech.com/applications/dna-nanopore-sequencing</w:t>
        </w:r>
      </w:hyperlink>
      <w:r w:rsidR="441DF912" w:rsidRPr="30D3FFAD">
        <w:rPr>
          <w:rFonts w:eastAsiaTheme="minorEastAsia"/>
        </w:rPr>
        <w:t xml:space="preserve"> . Library preparation using the rapid kit involves a transposase which simultaneously cleaves the DNA (linearizing plasmids) and adds barcodes onto the ends. The samples can then be pooled together, sequencing adapters </w:t>
      </w:r>
      <w:proofErr w:type="gramStart"/>
      <w:r w:rsidR="441DF912" w:rsidRPr="30D3FFAD">
        <w:rPr>
          <w:rFonts w:eastAsiaTheme="minorEastAsia"/>
        </w:rPr>
        <w:t>ligated, and</w:t>
      </w:r>
      <w:proofErr w:type="gramEnd"/>
      <w:r w:rsidR="441DF912" w:rsidRPr="30D3FFAD">
        <w:rPr>
          <w:rFonts w:eastAsiaTheme="minorEastAsia"/>
        </w:rPr>
        <w:t xml:space="preserve"> </w:t>
      </w:r>
      <w:r w:rsidR="40713CFA" w:rsidRPr="30D3FFAD">
        <w:rPr>
          <w:rFonts w:eastAsiaTheme="minorEastAsia"/>
        </w:rPr>
        <w:t xml:space="preserve">loaded </w:t>
      </w:r>
      <w:r w:rsidR="7C5C47DF" w:rsidRPr="30D3FFAD">
        <w:rPr>
          <w:rFonts w:eastAsiaTheme="minorEastAsia"/>
        </w:rPr>
        <w:t>on a flowcell</w:t>
      </w:r>
      <w:r w:rsidR="40E40531" w:rsidRPr="30D3FFAD">
        <w:rPr>
          <w:rFonts w:eastAsiaTheme="minorEastAsia"/>
        </w:rPr>
        <w:t xml:space="preserve"> for sequencing</w:t>
      </w:r>
      <w:r w:rsidR="7C5C47DF" w:rsidRPr="30D3FFAD">
        <w:rPr>
          <w:rFonts w:eastAsiaTheme="minorEastAsia"/>
        </w:rPr>
        <w:t>.</w:t>
      </w:r>
    </w:p>
    <w:p w14:paraId="672A6659" w14:textId="0140FEAB" w:rsidR="00217C75" w:rsidRDefault="1995359E" w:rsidP="1995359E">
      <w:r>
        <w:t xml:space="preserve">The sequencing data is processed using this plasmid assembly pipeline - </w:t>
      </w:r>
      <w:hyperlink r:id="rId9">
        <w:r w:rsidRPr="50187050">
          <w:rPr>
            <w:rStyle w:val="Hyperlink"/>
          </w:rPr>
          <w:t>https://github.com/zihengluo/ont-plasmid-assembly-and-reads-mapping</w:t>
        </w:r>
      </w:hyperlink>
      <w:r>
        <w:t xml:space="preserve"> . The raw sequencing reads are </w:t>
      </w:r>
      <w:proofErr w:type="spellStart"/>
      <w:proofErr w:type="gramStart"/>
      <w:r>
        <w:t>basecalled</w:t>
      </w:r>
      <w:proofErr w:type="spellEnd"/>
      <w:proofErr w:type="gramEnd"/>
      <w:r>
        <w:t xml:space="preserve"> using the Nanopore data processing toolkit </w:t>
      </w:r>
      <w:r w:rsidR="4AC7880A">
        <w:t>Dorado</w:t>
      </w:r>
      <w:r>
        <w:t xml:space="preserve"> and a consensus sequence is assembled </w:t>
      </w:r>
      <w:r w:rsidRPr="50187050">
        <w:t>using the EPI2ME</w:t>
      </w:r>
      <w:r w:rsidRPr="50187050">
        <w:rPr>
          <w:rFonts w:ascii="Calibri" w:eastAsia="Calibri" w:hAnsi="Calibri" w:cs="Calibri"/>
          <w:color w:val="1F2328"/>
        </w:rPr>
        <w:t xml:space="preserve"> </w:t>
      </w:r>
      <w:proofErr w:type="spellStart"/>
      <w:r w:rsidRPr="50187050">
        <w:rPr>
          <w:rFonts w:ascii="Calibri" w:eastAsia="Calibri" w:hAnsi="Calibri" w:cs="Calibri"/>
          <w:color w:val="1F2328"/>
        </w:rPr>
        <w:t>wf</w:t>
      </w:r>
      <w:proofErr w:type="spellEnd"/>
      <w:r w:rsidRPr="50187050">
        <w:rPr>
          <w:rFonts w:ascii="Calibri" w:eastAsia="Calibri" w:hAnsi="Calibri" w:cs="Calibri"/>
          <w:color w:val="1F2328"/>
        </w:rPr>
        <w:t>-clone-validation pipeline</w:t>
      </w:r>
      <w:r w:rsidRPr="50187050">
        <w:t xml:space="preserve">. If </w:t>
      </w:r>
      <w:r>
        <w:t>a reference map has been provided, the sequencing reads are also aligned to the reference.</w:t>
      </w:r>
    </w:p>
    <w:p w14:paraId="13C33F05" w14:textId="39B26F17" w:rsidR="63358433" w:rsidRDefault="63358433" w:rsidP="63358433">
      <w:pPr>
        <w:rPr>
          <w:b/>
          <w:bCs/>
          <w:sz w:val="24"/>
          <w:szCs w:val="24"/>
        </w:rPr>
      </w:pPr>
    </w:p>
    <w:p w14:paraId="72259067" w14:textId="43D4943D" w:rsidR="5C786991" w:rsidRDefault="5C8919FF" w:rsidP="633584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5C8919FF">
        <w:rPr>
          <w:b/>
          <w:bCs/>
          <w:sz w:val="24"/>
          <w:szCs w:val="24"/>
        </w:rPr>
        <w:t>Overview of output data</w:t>
      </w:r>
    </w:p>
    <w:p w14:paraId="2A5422F2" w14:textId="5156FEC8" w:rsidR="5C8919FF" w:rsidRDefault="5C8919FF" w:rsidP="5C8919FF">
      <w:r>
        <w:t>When sequencing and assembly are successful, you will receive the following:</w:t>
      </w:r>
    </w:p>
    <w:p w14:paraId="37A0B3E9" w14:textId="7577316B" w:rsidR="60B7449B" w:rsidRDefault="77503EAD" w:rsidP="5C8919FF">
      <w:pPr>
        <w:pStyle w:val="ListParagraph"/>
        <w:numPr>
          <w:ilvl w:val="0"/>
          <w:numId w:val="1"/>
        </w:numPr>
      </w:pPr>
      <w:r>
        <w:t xml:space="preserve">Zipped </w:t>
      </w:r>
      <w:r w:rsidR="5C8919FF">
        <w:t xml:space="preserve">Fastq folder (this is a standard guppy output, which contains the </w:t>
      </w:r>
      <w:proofErr w:type="spellStart"/>
      <w:r w:rsidR="5C8919FF">
        <w:t>basecalled</w:t>
      </w:r>
      <w:proofErr w:type="spellEnd"/>
      <w:r w:rsidR="5C8919FF">
        <w:t xml:space="preserve"> </w:t>
      </w:r>
      <w:r w:rsidR="6F7BEC35">
        <w:t xml:space="preserve">sequencing </w:t>
      </w:r>
      <w:r w:rsidR="5C8919FF">
        <w:t>reads)</w:t>
      </w:r>
    </w:p>
    <w:p w14:paraId="1298AEAC" w14:textId="3F9E6BD6" w:rsidR="60B7449B" w:rsidRDefault="5C8919FF" w:rsidP="5C8919FF">
      <w:pPr>
        <w:pStyle w:val="ListParagraph"/>
        <w:numPr>
          <w:ilvl w:val="0"/>
          <w:numId w:val="1"/>
        </w:numPr>
      </w:pPr>
      <w:r>
        <w:t>An assembly report</w:t>
      </w:r>
    </w:p>
    <w:p w14:paraId="1D293DF4" w14:textId="633513C6" w:rsidR="60B7449B" w:rsidRDefault="5C8919FF" w:rsidP="5C8919FF">
      <w:pPr>
        <w:pStyle w:val="ListParagraph"/>
        <w:numPr>
          <w:ilvl w:val="0"/>
          <w:numId w:val="1"/>
        </w:numPr>
      </w:pPr>
      <w:r>
        <w:t>An assembled sequence FASTA file</w:t>
      </w:r>
    </w:p>
    <w:p w14:paraId="1D3579BE" w14:textId="71B4EA64" w:rsidR="2F8F5724" w:rsidRDefault="2F8F5724" w:rsidP="13C1E0E0">
      <w:pPr>
        <w:pStyle w:val="ListParagraph"/>
        <w:numPr>
          <w:ilvl w:val="0"/>
          <w:numId w:val="1"/>
        </w:numPr>
      </w:pPr>
      <w:r>
        <w:t xml:space="preserve">A .annotation file (produced using </w:t>
      </w:r>
      <w:proofErr w:type="spellStart"/>
      <w:r>
        <w:t>pLanno</w:t>
      </w:r>
      <w:r w:rsidR="724C3568">
        <w:t>tate</w:t>
      </w:r>
      <w:proofErr w:type="spellEnd"/>
      <w:r w:rsidR="724C3568">
        <w:t xml:space="preserve">, this file can be imported into programs such as </w:t>
      </w:r>
      <w:proofErr w:type="spellStart"/>
      <w:r w:rsidR="724C3568">
        <w:t>Geneious</w:t>
      </w:r>
      <w:proofErr w:type="spellEnd"/>
      <w:r w:rsidR="724C3568">
        <w:t>, to add annotations onto the assembled sequence</w:t>
      </w:r>
      <w:r w:rsidR="7731A378">
        <w:t>)</w:t>
      </w:r>
    </w:p>
    <w:p w14:paraId="2A17BDF9" w14:textId="012834C6" w:rsidR="50187050" w:rsidRDefault="50187050" w:rsidP="50187050">
      <w:pPr>
        <w:pStyle w:val="ListParagraph"/>
      </w:pPr>
    </w:p>
    <w:p w14:paraId="39949D0A" w14:textId="2662F75C" w:rsidR="60B7449B" w:rsidRDefault="63358433" w:rsidP="633584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63358433">
        <w:rPr>
          <w:b/>
          <w:bCs/>
          <w:sz w:val="24"/>
          <w:szCs w:val="24"/>
        </w:rPr>
        <w:t>The Assembly Report</w:t>
      </w:r>
    </w:p>
    <w:p w14:paraId="27FD1212" w14:textId="3D8D0FB0" w:rsidR="60B7449B" w:rsidRDefault="5C8919FF" w:rsidP="5C786991">
      <w:r>
        <w:lastRenderedPageBreak/>
        <w:t>The assembly report is a html file. It shows a summary of the quality and length of sequencing reads.</w:t>
      </w:r>
    </w:p>
    <w:p w14:paraId="432B8ACF" w14:textId="03579936" w:rsidR="60B7449B" w:rsidRDefault="1995359E" w:rsidP="5C786991">
      <w:r>
        <w:t>The “Samples status” section shows if the reads were successfully assembled into a consensus sequence and how long the assembly is (bp). If the assembly failed, this section also displays the reason why. I have found the most common reason for failure is due to an insufficient number of reads. This usually occurs when a sample has very low concentration/high contamination (QC before submitting a sample is important!).</w:t>
      </w:r>
    </w:p>
    <w:p w14:paraId="54365378" w14:textId="0118B1C8" w:rsidR="60B7449B" w:rsidRDefault="5C8919FF" w:rsidP="5C8919FF">
      <w:r>
        <w:t>Example of successful assembly:</w:t>
      </w:r>
    </w:p>
    <w:p w14:paraId="339D5551" w14:textId="6B5E17E1" w:rsidR="60B7449B" w:rsidRDefault="60B7449B" w:rsidP="5C786991">
      <w:pPr>
        <w:jc w:val="center"/>
      </w:pPr>
      <w:r>
        <w:rPr>
          <w:noProof/>
        </w:rPr>
        <w:drawing>
          <wp:inline distT="0" distB="0" distL="0" distR="0" wp14:anchorId="7FF02BB4" wp14:editId="33256017">
            <wp:extent cx="6597112" cy="1053692"/>
            <wp:effectExtent l="9525" t="9525" r="9525" b="9525"/>
            <wp:docPr id="79100359" name="Picture 7910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" t="3508" r="4845"/>
                    <a:stretch>
                      <a:fillRect/>
                    </a:stretch>
                  </pic:blipFill>
                  <pic:spPr>
                    <a:xfrm>
                      <a:off x="0" y="0"/>
                      <a:ext cx="6597112" cy="1053692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91F13E3" w14:textId="6C0E0FD1" w:rsidR="60B7449B" w:rsidRDefault="5C8919FF" w:rsidP="5C786991">
      <w:r>
        <w:t>Example of assembly that failed due to insufficient reads:</w:t>
      </w:r>
    </w:p>
    <w:p w14:paraId="56A379B7" w14:textId="5172F176" w:rsidR="60B7449B" w:rsidRDefault="60B7449B" w:rsidP="5C786991">
      <w:pPr>
        <w:jc w:val="center"/>
      </w:pPr>
      <w:r>
        <w:rPr>
          <w:noProof/>
        </w:rPr>
        <w:drawing>
          <wp:inline distT="0" distB="0" distL="0" distR="0" wp14:anchorId="02B6C3F0" wp14:editId="43EAA12E">
            <wp:extent cx="6518273" cy="1018480"/>
            <wp:effectExtent l="9525" t="9525" r="9525" b="9525"/>
            <wp:docPr id="959166445" name="Picture 959166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73" cy="1018480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4F19293" w14:textId="77B80BAE" w:rsidR="60B7449B" w:rsidRDefault="1995359E" w:rsidP="5C786991">
      <w:r>
        <w:t xml:space="preserve">Further down the report are 2 histograms displaying the sequencing read lengths and quality score of reads (the higher the average quality score, the better). If you click on the </w:t>
      </w:r>
      <w:proofErr w:type="spellStart"/>
      <w:r>
        <w:t>downsampled</w:t>
      </w:r>
      <w:proofErr w:type="spellEnd"/>
      <w:r>
        <w:t xml:space="preserve"> button, only the filtered reads are shown – these are the reads used by the EPI2ME pipeline for constructing the sequence assembly.</w:t>
      </w:r>
    </w:p>
    <w:p w14:paraId="1EC8D8D8" w14:textId="1A23ED3F" w:rsidR="5C786991" w:rsidRDefault="1995359E" w:rsidP="5C786991">
      <w:r>
        <w:t>We</w:t>
      </w:r>
      <w:r w:rsidR="6940EACE">
        <w:t xml:space="preserve"> generally</w:t>
      </w:r>
      <w:r>
        <w:t xml:space="preserve"> expect most of the reads to be around the full length of the plasmid. You can see this in the example below, the plasmid is ~7000bp long, and there is a dominant peak around this length on the histogram. In the </w:t>
      </w:r>
      <w:proofErr w:type="spellStart"/>
      <w:r>
        <w:t>downsampled</w:t>
      </w:r>
      <w:proofErr w:type="spellEnd"/>
      <w:r>
        <w:t xml:space="preserve"> tab, the shortest and lowest quality reads have been filtered out.</w:t>
      </w:r>
    </w:p>
    <w:p w14:paraId="67167E03" w14:textId="4C9C4304" w:rsidR="5C786991" w:rsidRDefault="5C786991" w:rsidP="5C786991">
      <w:r>
        <w:rPr>
          <w:noProof/>
        </w:rPr>
        <w:lastRenderedPageBreak/>
        <w:drawing>
          <wp:inline distT="0" distB="0" distL="0" distR="0" wp14:anchorId="7586B18E" wp14:editId="09739C5A">
            <wp:extent cx="2925366" cy="4000500"/>
            <wp:effectExtent l="9525" t="9525" r="9525" b="9525"/>
            <wp:docPr id="1901930949" name="Picture 1901930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366" cy="4000500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7F932E" wp14:editId="68D12806">
            <wp:extent cx="2883694" cy="4000500"/>
            <wp:effectExtent l="9525" t="9525" r="9525" b="9525"/>
            <wp:docPr id="971005446" name="Picture 97100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94" cy="4000500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C39FBF6" w14:textId="79992FEA" w:rsidR="5C786991" w:rsidRDefault="1995359E" w:rsidP="5C786991">
      <w:r>
        <w:t>Other things you might see in read length histograms:</w:t>
      </w:r>
    </w:p>
    <w:p w14:paraId="03211DF4" w14:textId="3E87BFA8" w:rsidR="5C786991" w:rsidRDefault="1995359E" w:rsidP="5C786991">
      <w:pPr>
        <w:pStyle w:val="ListParagraph"/>
        <w:numPr>
          <w:ilvl w:val="0"/>
          <w:numId w:val="5"/>
        </w:numPr>
      </w:pPr>
      <w:r w:rsidRPr="30D3FFAD">
        <w:rPr>
          <w:b/>
          <w:bCs/>
        </w:rPr>
        <w:t>Multiple strong peaks</w:t>
      </w:r>
      <w:r>
        <w:t xml:space="preserve"> – if there are two or more dominant peaks in the read length histogram, this is an indication that the sample contained a mix of plasmids of different sizes. E.g. the sample may contain some full plasmids, and some empty vectors. Th</w:t>
      </w:r>
      <w:r w:rsidR="52AA5492">
        <w:t>is is not ideal, as th</w:t>
      </w:r>
      <w:r>
        <w:t>e consensus sequence generated by the assembly pipeline may be a mix of the multiple plasmids present.</w:t>
      </w:r>
    </w:p>
    <w:p w14:paraId="61DCE3A1" w14:textId="2B901A88" w:rsidR="30D3FFAD" w:rsidRDefault="30D3FFAD" w:rsidP="30D3FFAD"/>
    <w:p w14:paraId="237918B1" w14:textId="627D40EF" w:rsidR="5C786991" w:rsidRDefault="1995359E" w:rsidP="5C786991">
      <w:pPr>
        <w:pStyle w:val="ListParagraph"/>
        <w:numPr>
          <w:ilvl w:val="0"/>
          <w:numId w:val="5"/>
        </w:numPr>
      </w:pPr>
      <w:r w:rsidRPr="70A1CD11">
        <w:rPr>
          <w:b/>
          <w:bCs/>
        </w:rPr>
        <w:t>No strong peak, or the dominant peak is very far to the lef</w:t>
      </w:r>
      <w:r>
        <w:t xml:space="preserve">t – this is likely </w:t>
      </w:r>
      <w:r w:rsidR="6C0ADB14">
        <w:t>caused by</w:t>
      </w:r>
      <w:r>
        <w:t xml:space="preserve"> degraded</w:t>
      </w:r>
      <w:r w:rsidR="71D95638">
        <w:t>/</w:t>
      </w:r>
      <w:r w:rsidR="4F6BB168">
        <w:t xml:space="preserve">highly fragmented </w:t>
      </w:r>
      <w:r>
        <w:t>plasmid</w:t>
      </w:r>
      <w:r w:rsidR="23CA6583">
        <w:t>s.</w:t>
      </w:r>
      <w:r w:rsidR="6206407D">
        <w:t xml:space="preserve"> </w:t>
      </w:r>
      <w:r w:rsidR="49865833">
        <w:t xml:space="preserve"> If the </w:t>
      </w:r>
      <w:r w:rsidR="609E162D">
        <w:t xml:space="preserve">read length </w:t>
      </w:r>
      <w:r w:rsidR="49865833">
        <w:t xml:space="preserve">histogram looks like this, it is also likely that the </w:t>
      </w:r>
      <w:r w:rsidR="4909566F">
        <w:t>pipeline will have failed to generate a consensus sequence</w:t>
      </w:r>
      <w:r w:rsidR="3036D47B">
        <w:t>. If you have submitted a sample which has a lower than recommended concentration, results may look like this.</w:t>
      </w:r>
    </w:p>
    <w:p w14:paraId="71397C27" w14:textId="0A5CE364" w:rsidR="30D3FFAD" w:rsidRDefault="30D3FFAD" w:rsidP="30D3FFAD"/>
    <w:p w14:paraId="5C3586F8" w14:textId="669C1942" w:rsidR="5C786991" w:rsidRDefault="1995359E" w:rsidP="5C786991">
      <w:pPr>
        <w:pStyle w:val="ListParagraph"/>
        <w:numPr>
          <w:ilvl w:val="0"/>
          <w:numId w:val="5"/>
        </w:numPr>
      </w:pPr>
      <w:r w:rsidRPr="30D3FFAD">
        <w:rPr>
          <w:b/>
          <w:bCs/>
        </w:rPr>
        <w:t>Concatemers</w:t>
      </w:r>
      <w:r>
        <w:t xml:space="preserve"> – dimers/multimers seem to be very common in plasmid samples</w:t>
      </w:r>
      <w:r w:rsidR="57A64853">
        <w:t>, in low amounts</w:t>
      </w:r>
      <w:r>
        <w:t xml:space="preserve">. Many of the plasmids we have sequenced have a small peak around 2x </w:t>
      </w:r>
      <w:proofErr w:type="gramStart"/>
      <w:r>
        <w:t>length</w:t>
      </w:r>
      <w:proofErr w:type="gramEnd"/>
      <w:r>
        <w:t xml:space="preserve"> of plasmid</w:t>
      </w:r>
      <w:r w:rsidR="363A3B66">
        <w:t xml:space="preserve">. </w:t>
      </w:r>
      <w:r w:rsidR="1FD16843">
        <w:t xml:space="preserve">When concatemers are present in very low numbers, </w:t>
      </w:r>
      <w:r w:rsidR="363A3B66">
        <w:t>this does not seem to affect assembly of the consensus sequence.</w:t>
      </w:r>
    </w:p>
    <w:p w14:paraId="3E28CF26" w14:textId="1E7BCC12" w:rsidR="30D3FFAD" w:rsidRDefault="30D3FFAD" w:rsidP="30D3FFAD"/>
    <w:p w14:paraId="72775BCB" w14:textId="77A256D8" w:rsidR="792C0D21" w:rsidRDefault="792C0D21" w:rsidP="30D3FFAD">
      <w:pPr>
        <w:pStyle w:val="ListParagraph"/>
        <w:numPr>
          <w:ilvl w:val="0"/>
          <w:numId w:val="5"/>
        </w:numPr>
      </w:pPr>
      <w:r w:rsidRPr="70A1CD11">
        <w:rPr>
          <w:b/>
          <w:bCs/>
        </w:rPr>
        <w:t xml:space="preserve">Assembly length and read length histogram don’t seem to match – </w:t>
      </w:r>
      <w:r>
        <w:t xml:space="preserve">occasionally </w:t>
      </w:r>
      <w:r w:rsidR="5A7726EB">
        <w:t xml:space="preserve">the EPI2ME pipeline generates a consensus assembly which is much longer (2x, 3x or 4x) or shorter than what is expected. </w:t>
      </w:r>
      <w:r w:rsidR="79B03F43">
        <w:t>For example, the read length histogram has a dominant peak around 5000 bp, but the assembly is around 10 000bp long</w:t>
      </w:r>
      <w:r w:rsidR="1EFE705F">
        <w:t xml:space="preserve"> and i</w:t>
      </w:r>
      <w:r w:rsidR="5B3BE5B5">
        <w:t xml:space="preserve">t appears that large sections of the backbone may have been duplicated in the assembly. </w:t>
      </w:r>
      <w:r w:rsidR="191C0C1D">
        <w:t xml:space="preserve">I try to keep an eye out for this when uploading the sequencing </w:t>
      </w:r>
      <w:proofErr w:type="gramStart"/>
      <w:r w:rsidR="191C0C1D">
        <w:t>results, and</w:t>
      </w:r>
      <w:proofErr w:type="gramEnd"/>
      <w:r w:rsidR="191C0C1D">
        <w:t xml:space="preserve"> re-run the assembly to try and produce a better consensus sequence when possible.</w:t>
      </w:r>
    </w:p>
    <w:p w14:paraId="37F81CFC" w14:textId="2AD2D856" w:rsidR="30D3FFAD" w:rsidRDefault="30D3FFAD" w:rsidP="30D3FFAD"/>
    <w:p w14:paraId="5A86B661" w14:textId="1659D8A5" w:rsidR="5C786991" w:rsidRDefault="5C8919FF" w:rsidP="633584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5C8919FF">
        <w:rPr>
          <w:b/>
          <w:bCs/>
          <w:sz w:val="24"/>
          <w:szCs w:val="24"/>
        </w:rPr>
        <w:t>The Sequence Assembly (FASTA file)</w:t>
      </w:r>
    </w:p>
    <w:p w14:paraId="0F0E5620" w14:textId="6A7435A7" w:rsidR="5C8919FF" w:rsidRDefault="5C8919FF" w:rsidP="30D3FFAD">
      <w:r>
        <w:t xml:space="preserve">The sequence assembly FASTA file is </w:t>
      </w:r>
      <w:r w:rsidR="3C31A9B5">
        <w:t xml:space="preserve">a text file containing </w:t>
      </w:r>
      <w:r>
        <w:t>the plasmid</w:t>
      </w:r>
      <w:r w:rsidR="546BE094">
        <w:t xml:space="preserve"> consensus</w:t>
      </w:r>
      <w:r>
        <w:t xml:space="preserve"> sequence generated using EPI2ME.</w:t>
      </w:r>
      <w:r w:rsidR="68E6CB73">
        <w:t xml:space="preserve"> </w:t>
      </w:r>
    </w:p>
    <w:p w14:paraId="3B0E9F53" w14:textId="781B3EA4" w:rsidR="7ED93F48" w:rsidRDefault="7ED93F48" w:rsidP="30D3FFAD">
      <w:r>
        <w:t xml:space="preserve">If you wish to compare the sequence assembly to a reference map, this can easily be done in the program </w:t>
      </w:r>
      <w:proofErr w:type="spellStart"/>
      <w:r>
        <w:t>Geneious</w:t>
      </w:r>
      <w:proofErr w:type="spellEnd"/>
      <w:r>
        <w:t xml:space="preserve">. </w:t>
      </w:r>
      <w:r w:rsidR="313529D4">
        <w:t xml:space="preserve">Firstly, </w:t>
      </w:r>
      <w:r w:rsidR="6AA9F896">
        <w:t xml:space="preserve">add the sequence in the FASTA file as a new sequence on </w:t>
      </w:r>
      <w:proofErr w:type="spellStart"/>
      <w:r w:rsidR="6AA9F896">
        <w:t>Geneious</w:t>
      </w:r>
      <w:proofErr w:type="spellEnd"/>
      <w:r w:rsidR="6AA9F896">
        <w:t>.</w:t>
      </w:r>
      <w:r w:rsidR="00B8F329">
        <w:t xml:space="preserve"> </w:t>
      </w:r>
      <w:r w:rsidR="2E33AD58">
        <w:t xml:space="preserve">Also add the corresponding reference map, if it is not in </w:t>
      </w:r>
      <w:proofErr w:type="spellStart"/>
      <w:r w:rsidR="2E33AD58">
        <w:t>Geneious</w:t>
      </w:r>
      <w:proofErr w:type="spellEnd"/>
      <w:r w:rsidR="2E33AD58">
        <w:t xml:space="preserve"> already.</w:t>
      </w:r>
    </w:p>
    <w:p w14:paraId="20D3F859" w14:textId="58368DF6" w:rsidR="3818C1FC" w:rsidRDefault="3818C1FC" w:rsidP="30D3FFAD">
      <w:pPr>
        <w:jc w:val="center"/>
      </w:pPr>
      <w:r>
        <w:rPr>
          <w:noProof/>
        </w:rPr>
        <w:drawing>
          <wp:inline distT="0" distB="0" distL="0" distR="0" wp14:anchorId="5BE9DE27" wp14:editId="4263CF5B">
            <wp:extent cx="4211559" cy="3544729"/>
            <wp:effectExtent l="9525" t="9525" r="9525" b="9525"/>
            <wp:docPr id="388431985" name="Picture 38843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559" cy="3544729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B8143A3" w14:textId="37F1070E" w:rsidR="5A29017F" w:rsidRDefault="5A29017F" w:rsidP="30D3FFAD">
      <w:r>
        <w:t>S</w:t>
      </w:r>
      <w:r w:rsidR="1A97633A">
        <w:t xml:space="preserve">elect the </w:t>
      </w:r>
      <w:r w:rsidR="6F21E2B9">
        <w:t xml:space="preserve">sequence </w:t>
      </w:r>
      <w:r w:rsidR="1A97633A">
        <w:t>as</w:t>
      </w:r>
      <w:r w:rsidR="22EC68B0">
        <w:t xml:space="preserve">sembly </w:t>
      </w:r>
      <w:r w:rsidR="1A97633A">
        <w:t xml:space="preserve">and </w:t>
      </w:r>
      <w:r w:rsidR="1C9C9CE9">
        <w:t>use the</w:t>
      </w:r>
      <w:r w:rsidR="3A89AE51">
        <w:t xml:space="preserve"> </w:t>
      </w:r>
      <w:r w:rsidR="1CBFA481">
        <w:t>“</w:t>
      </w:r>
      <w:r w:rsidR="3A89AE51">
        <w:t>Map to Reference</w:t>
      </w:r>
      <w:r w:rsidR="4AFD0C7B">
        <w:t>”</w:t>
      </w:r>
      <w:r w:rsidR="366141AB">
        <w:t xml:space="preserve"> function</w:t>
      </w:r>
      <w:r w:rsidR="3A89AE51">
        <w:t xml:space="preserve">. Select </w:t>
      </w:r>
      <w:r w:rsidR="0C7D5BC5">
        <w:t xml:space="preserve">the corresponding </w:t>
      </w:r>
      <w:r w:rsidR="3A89AE51">
        <w:t>reference map,</w:t>
      </w:r>
      <w:r w:rsidR="2B312F3F">
        <w:t xml:space="preserve"> click OK</w:t>
      </w:r>
      <w:r w:rsidR="3A89AE51">
        <w:t xml:space="preserve"> and </w:t>
      </w:r>
      <w:proofErr w:type="spellStart"/>
      <w:r w:rsidR="3698742E">
        <w:t>Genieous</w:t>
      </w:r>
      <w:proofErr w:type="spellEnd"/>
      <w:r w:rsidR="3698742E">
        <w:t xml:space="preserve"> will align the assembled sequence with the reference.</w:t>
      </w:r>
    </w:p>
    <w:p w14:paraId="114227CA" w14:textId="1C00DB32" w:rsidR="5EB304A1" w:rsidRDefault="5EB304A1" w:rsidP="30D3FFAD">
      <w:pPr>
        <w:jc w:val="center"/>
      </w:pPr>
      <w:r>
        <w:rPr>
          <w:noProof/>
        </w:rPr>
        <w:lastRenderedPageBreak/>
        <w:drawing>
          <wp:inline distT="0" distB="0" distL="0" distR="0" wp14:anchorId="69F3AA6B" wp14:editId="425557AB">
            <wp:extent cx="2200275" cy="1895475"/>
            <wp:effectExtent l="9525" t="9525" r="9525" b="9525"/>
            <wp:docPr id="852017672" name="Picture 85201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95475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91A23ED" w14:textId="32D7A836" w:rsidR="5C786991" w:rsidRDefault="7BD42398" w:rsidP="5C8919FF">
      <w:r>
        <w:t>Here is an e</w:t>
      </w:r>
      <w:r w:rsidR="5C8919FF">
        <w:t>xample of a sequence assembly which</w:t>
      </w:r>
      <w:r w:rsidR="2DC6C7EB">
        <w:t xml:space="preserve"> perfectly</w:t>
      </w:r>
      <w:r w:rsidR="5C8919FF">
        <w:t xml:space="preserve"> matches the reference sequence</w:t>
      </w:r>
      <w:r w:rsidR="342D5E4F">
        <w:t>:</w:t>
      </w:r>
    </w:p>
    <w:p w14:paraId="3480CD90" w14:textId="0A549BF1" w:rsidR="5C8919FF" w:rsidRDefault="5C8919FF" w:rsidP="5C8919FF">
      <w:r>
        <w:rPr>
          <w:noProof/>
        </w:rPr>
        <w:drawing>
          <wp:inline distT="0" distB="0" distL="0" distR="0" wp14:anchorId="288BAD8F" wp14:editId="2D564A03">
            <wp:extent cx="5943600" cy="965835"/>
            <wp:effectExtent l="9525" t="9525" r="9525" b="9525"/>
            <wp:docPr id="1477754054" name="Picture 147775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B6080C2" w14:textId="46B2DDAD" w:rsidR="5C786991" w:rsidRDefault="63B6D2B4" w:rsidP="5C8919FF">
      <w:r>
        <w:t>Here is an e</w:t>
      </w:r>
      <w:r w:rsidR="5C8919FF">
        <w:t>xample of a plasmid sequence assembly which does not match the reference sequence</w:t>
      </w:r>
      <w:r w:rsidR="68C9888E">
        <w:t>. There is a SNP and multiple deletions in the sequenced plasmid.</w:t>
      </w:r>
    </w:p>
    <w:p w14:paraId="7DAD756D" w14:textId="3EBB173E" w:rsidR="5C8919FF" w:rsidRDefault="5C8919FF" w:rsidP="5C8919FF">
      <w:r>
        <w:rPr>
          <w:noProof/>
        </w:rPr>
        <w:drawing>
          <wp:inline distT="0" distB="0" distL="0" distR="0" wp14:anchorId="5D34F8FD" wp14:editId="64964439">
            <wp:extent cx="5966734" cy="832856"/>
            <wp:effectExtent l="9525" t="9525" r="9525" b="9525"/>
            <wp:docPr id="557219956" name="Picture 557219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734" cy="832856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916AD62" w14:textId="31B9ABB3" w:rsidR="5C8919FF" w:rsidRDefault="1995359E" w:rsidP="5C8919FF">
      <w:r>
        <w:t xml:space="preserve">               </w:t>
      </w:r>
      <w:r w:rsidR="38C40713">
        <w:t xml:space="preserve">                                </w:t>
      </w:r>
      <w:r>
        <w:t xml:space="preserve">    </w:t>
      </w:r>
      <w:r w:rsidR="181679AC">
        <w:t xml:space="preserve">                                                                       </w:t>
      </w:r>
      <w:r w:rsidR="5C8919FF">
        <w:rPr>
          <w:noProof/>
        </w:rPr>
        <w:drawing>
          <wp:inline distT="0" distB="0" distL="0" distR="0" wp14:anchorId="0BAF1E7D" wp14:editId="3AD6C1E0">
            <wp:extent cx="2217964" cy="1722940"/>
            <wp:effectExtent l="9525" t="9525" r="9525" b="9525"/>
            <wp:docPr id="1352355495" name="Picture 135235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964" cy="1722940"/>
                    </a:xfrm>
                    <a:prstGeom prst="rect">
                      <a:avLst/>
                    </a:prstGeom>
                    <a:ln w="9525">
                      <a:solidFill>
                        <a:srgbClr val="FF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6E831DBC">
        <w:t xml:space="preserve">                  </w:t>
      </w:r>
      <w:r>
        <w:t xml:space="preserve">   </w:t>
      </w:r>
      <w:r w:rsidR="5C8919FF">
        <w:rPr>
          <w:noProof/>
        </w:rPr>
        <w:drawing>
          <wp:inline distT="0" distB="0" distL="0" distR="0" wp14:anchorId="21022052" wp14:editId="695BB4EC">
            <wp:extent cx="2219030" cy="1719432"/>
            <wp:effectExtent l="9525" t="9525" r="9525" b="9525"/>
            <wp:docPr id="1654156203" name="Picture 165415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0"/>
                    <a:stretch>
                      <a:fillRect/>
                    </a:stretch>
                  </pic:blipFill>
                  <pic:spPr>
                    <a:xfrm>
                      <a:off x="0" y="0"/>
                      <a:ext cx="2219030" cy="1719432"/>
                    </a:xfrm>
                    <a:prstGeom prst="rect">
                      <a:avLst/>
                    </a:prstGeom>
                    <a:ln w="9525">
                      <a:solidFill>
                        <a:srgbClr val="FF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DF553FC" w14:textId="68FEDF16" w:rsidR="00323E68" w:rsidRDefault="00323E68" w:rsidP="30D3FFAD">
      <w:r>
        <w:t xml:space="preserve">                           A SNP                                                                                                  A deletion</w:t>
      </w:r>
    </w:p>
    <w:p w14:paraId="50D31185" w14:textId="219C265B" w:rsidR="5C786991" w:rsidRDefault="5C786991" w:rsidP="5C786991"/>
    <w:sectPr w:rsidR="5C786991" w:rsidSect="00217C75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E385E" w14:textId="77777777" w:rsidR="00957D9C" w:rsidRDefault="00957D9C" w:rsidP="00E94439">
      <w:pPr>
        <w:spacing w:after="0" w:line="240" w:lineRule="auto"/>
      </w:pPr>
      <w:r>
        <w:separator/>
      </w:r>
    </w:p>
  </w:endnote>
  <w:endnote w:type="continuationSeparator" w:id="0">
    <w:p w14:paraId="4515E5EF" w14:textId="77777777" w:rsidR="00957D9C" w:rsidRDefault="00957D9C" w:rsidP="00E9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2140A956" w:rsidR="00E94439" w:rsidRDefault="00B872BA">
    <w:pPr>
      <w:pStyle w:val="Footer"/>
    </w:pPr>
    <w:r>
      <w:t>Authored</w:t>
    </w:r>
    <w:r w:rsidR="00372C93">
      <w:t xml:space="preserve"> by Lydia Murphy – Schwessinger lab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EEFA" w14:textId="77777777" w:rsidR="00957D9C" w:rsidRDefault="00957D9C" w:rsidP="00E94439">
      <w:pPr>
        <w:spacing w:after="0" w:line="240" w:lineRule="auto"/>
      </w:pPr>
      <w:r>
        <w:separator/>
      </w:r>
    </w:p>
  </w:footnote>
  <w:footnote w:type="continuationSeparator" w:id="0">
    <w:p w14:paraId="7944AF84" w14:textId="77777777" w:rsidR="00957D9C" w:rsidRDefault="00957D9C" w:rsidP="00E9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571D"/>
    <w:multiLevelType w:val="hybridMultilevel"/>
    <w:tmpl w:val="83548DCA"/>
    <w:lvl w:ilvl="0" w:tplc="29A89902">
      <w:start w:val="1"/>
      <w:numFmt w:val="decimal"/>
      <w:lvlText w:val="%1."/>
      <w:lvlJc w:val="left"/>
      <w:pPr>
        <w:ind w:left="720" w:hanging="360"/>
      </w:pPr>
    </w:lvl>
    <w:lvl w:ilvl="1" w:tplc="5FFE2830">
      <w:start w:val="1"/>
      <w:numFmt w:val="lowerLetter"/>
      <w:lvlText w:val="%2."/>
      <w:lvlJc w:val="left"/>
      <w:pPr>
        <w:ind w:left="1440" w:hanging="360"/>
      </w:pPr>
    </w:lvl>
    <w:lvl w:ilvl="2" w:tplc="2FB0F506">
      <w:start w:val="1"/>
      <w:numFmt w:val="lowerRoman"/>
      <w:lvlText w:val="%3."/>
      <w:lvlJc w:val="right"/>
      <w:pPr>
        <w:ind w:left="2160" w:hanging="180"/>
      </w:pPr>
    </w:lvl>
    <w:lvl w:ilvl="3" w:tplc="AD9269D8">
      <w:start w:val="1"/>
      <w:numFmt w:val="decimal"/>
      <w:lvlText w:val="%4."/>
      <w:lvlJc w:val="left"/>
      <w:pPr>
        <w:ind w:left="2880" w:hanging="360"/>
      </w:pPr>
    </w:lvl>
    <w:lvl w:ilvl="4" w:tplc="2090A340">
      <w:start w:val="1"/>
      <w:numFmt w:val="lowerLetter"/>
      <w:lvlText w:val="%5."/>
      <w:lvlJc w:val="left"/>
      <w:pPr>
        <w:ind w:left="3600" w:hanging="360"/>
      </w:pPr>
    </w:lvl>
    <w:lvl w:ilvl="5" w:tplc="5D9218E6">
      <w:start w:val="1"/>
      <w:numFmt w:val="lowerRoman"/>
      <w:lvlText w:val="%6."/>
      <w:lvlJc w:val="right"/>
      <w:pPr>
        <w:ind w:left="4320" w:hanging="180"/>
      </w:pPr>
    </w:lvl>
    <w:lvl w:ilvl="6" w:tplc="A670B07A">
      <w:start w:val="1"/>
      <w:numFmt w:val="decimal"/>
      <w:lvlText w:val="%7."/>
      <w:lvlJc w:val="left"/>
      <w:pPr>
        <w:ind w:left="5040" w:hanging="360"/>
      </w:pPr>
    </w:lvl>
    <w:lvl w:ilvl="7" w:tplc="E4B81020">
      <w:start w:val="1"/>
      <w:numFmt w:val="lowerLetter"/>
      <w:lvlText w:val="%8."/>
      <w:lvlJc w:val="left"/>
      <w:pPr>
        <w:ind w:left="5760" w:hanging="360"/>
      </w:pPr>
    </w:lvl>
    <w:lvl w:ilvl="8" w:tplc="14E878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8A3A"/>
    <w:multiLevelType w:val="hybridMultilevel"/>
    <w:tmpl w:val="5D7E15DE"/>
    <w:lvl w:ilvl="0" w:tplc="47B439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42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A4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4D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4A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27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22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E9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C9D6"/>
    <w:multiLevelType w:val="hybridMultilevel"/>
    <w:tmpl w:val="1A5A4A2E"/>
    <w:lvl w:ilvl="0" w:tplc="5394D9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B42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E3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0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6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2D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25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29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A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F1ACB"/>
    <w:multiLevelType w:val="hybridMultilevel"/>
    <w:tmpl w:val="3B6E4020"/>
    <w:lvl w:ilvl="0" w:tplc="730C2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40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A0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2F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49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4E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2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21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C8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87E85"/>
    <w:multiLevelType w:val="hybridMultilevel"/>
    <w:tmpl w:val="DE701C38"/>
    <w:lvl w:ilvl="0" w:tplc="D1449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41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E7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CA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8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89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43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22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6A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A8CEE"/>
    <w:multiLevelType w:val="hybridMultilevel"/>
    <w:tmpl w:val="A5FC23CE"/>
    <w:lvl w:ilvl="0" w:tplc="DBDC2F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946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C8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4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CB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08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04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5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AA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B55FA"/>
    <w:multiLevelType w:val="hybridMultilevel"/>
    <w:tmpl w:val="57FCC374"/>
    <w:lvl w:ilvl="0" w:tplc="D1761C08">
      <w:start w:val="1"/>
      <w:numFmt w:val="decimal"/>
      <w:lvlText w:val="%1."/>
      <w:lvlJc w:val="left"/>
      <w:pPr>
        <w:ind w:left="720" w:hanging="360"/>
      </w:pPr>
    </w:lvl>
    <w:lvl w:ilvl="1" w:tplc="B084526E">
      <w:start w:val="1"/>
      <w:numFmt w:val="lowerLetter"/>
      <w:lvlText w:val="%2."/>
      <w:lvlJc w:val="left"/>
      <w:pPr>
        <w:ind w:left="1440" w:hanging="360"/>
      </w:pPr>
    </w:lvl>
    <w:lvl w:ilvl="2" w:tplc="A2725844">
      <w:start w:val="1"/>
      <w:numFmt w:val="lowerRoman"/>
      <w:lvlText w:val="%3."/>
      <w:lvlJc w:val="right"/>
      <w:pPr>
        <w:ind w:left="2160" w:hanging="180"/>
      </w:pPr>
    </w:lvl>
    <w:lvl w:ilvl="3" w:tplc="9ABA76DA">
      <w:start w:val="1"/>
      <w:numFmt w:val="decimal"/>
      <w:lvlText w:val="%4."/>
      <w:lvlJc w:val="left"/>
      <w:pPr>
        <w:ind w:left="2880" w:hanging="360"/>
      </w:pPr>
    </w:lvl>
    <w:lvl w:ilvl="4" w:tplc="ED88F81C">
      <w:start w:val="1"/>
      <w:numFmt w:val="lowerLetter"/>
      <w:lvlText w:val="%5."/>
      <w:lvlJc w:val="left"/>
      <w:pPr>
        <w:ind w:left="3600" w:hanging="360"/>
      </w:pPr>
    </w:lvl>
    <w:lvl w:ilvl="5" w:tplc="DB503A74">
      <w:start w:val="1"/>
      <w:numFmt w:val="lowerRoman"/>
      <w:lvlText w:val="%6."/>
      <w:lvlJc w:val="right"/>
      <w:pPr>
        <w:ind w:left="4320" w:hanging="180"/>
      </w:pPr>
    </w:lvl>
    <w:lvl w:ilvl="6" w:tplc="01380B22">
      <w:start w:val="1"/>
      <w:numFmt w:val="decimal"/>
      <w:lvlText w:val="%7."/>
      <w:lvlJc w:val="left"/>
      <w:pPr>
        <w:ind w:left="5040" w:hanging="360"/>
      </w:pPr>
    </w:lvl>
    <w:lvl w:ilvl="7" w:tplc="9392E9B6">
      <w:start w:val="1"/>
      <w:numFmt w:val="lowerLetter"/>
      <w:lvlText w:val="%8."/>
      <w:lvlJc w:val="left"/>
      <w:pPr>
        <w:ind w:left="5760" w:hanging="360"/>
      </w:pPr>
    </w:lvl>
    <w:lvl w:ilvl="8" w:tplc="8EEA10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98F0"/>
    <w:multiLevelType w:val="hybridMultilevel"/>
    <w:tmpl w:val="E7A8B95A"/>
    <w:lvl w:ilvl="0" w:tplc="46F46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AED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E8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6C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21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A3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6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64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A6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561">
    <w:abstractNumId w:val="4"/>
  </w:num>
  <w:num w:numId="2" w16cid:durableId="1722830353">
    <w:abstractNumId w:val="6"/>
  </w:num>
  <w:num w:numId="3" w16cid:durableId="538932721">
    <w:abstractNumId w:val="0"/>
  </w:num>
  <w:num w:numId="4" w16cid:durableId="926691823">
    <w:abstractNumId w:val="1"/>
  </w:num>
  <w:num w:numId="5" w16cid:durableId="1323586430">
    <w:abstractNumId w:val="3"/>
  </w:num>
  <w:num w:numId="6" w16cid:durableId="1328024181">
    <w:abstractNumId w:val="7"/>
  </w:num>
  <w:num w:numId="7" w16cid:durableId="747576660">
    <w:abstractNumId w:val="2"/>
  </w:num>
  <w:num w:numId="8" w16cid:durableId="113331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A80"/>
    <w:rsid w:val="00143183"/>
    <w:rsid w:val="00217C75"/>
    <w:rsid w:val="00291A80"/>
    <w:rsid w:val="00323E68"/>
    <w:rsid w:val="00372C93"/>
    <w:rsid w:val="007A71D0"/>
    <w:rsid w:val="00957D9C"/>
    <w:rsid w:val="00AE488D"/>
    <w:rsid w:val="00B872BA"/>
    <w:rsid w:val="00B8F329"/>
    <w:rsid w:val="00E94439"/>
    <w:rsid w:val="01AA629B"/>
    <w:rsid w:val="01BCE94B"/>
    <w:rsid w:val="0208BD04"/>
    <w:rsid w:val="0219A6D6"/>
    <w:rsid w:val="02BEF817"/>
    <w:rsid w:val="0408B4A0"/>
    <w:rsid w:val="05F89A88"/>
    <w:rsid w:val="067DD3BE"/>
    <w:rsid w:val="06F1392B"/>
    <w:rsid w:val="07210768"/>
    <w:rsid w:val="083E8957"/>
    <w:rsid w:val="0856F2AA"/>
    <w:rsid w:val="08CB122A"/>
    <w:rsid w:val="0A77F624"/>
    <w:rsid w:val="0AC8A2DC"/>
    <w:rsid w:val="0AD793DB"/>
    <w:rsid w:val="0BD1D1E4"/>
    <w:rsid w:val="0C7D5BC5"/>
    <w:rsid w:val="0C9E579A"/>
    <w:rsid w:val="0E299E00"/>
    <w:rsid w:val="0E4E7E41"/>
    <w:rsid w:val="0E6D65FF"/>
    <w:rsid w:val="0FE1C546"/>
    <w:rsid w:val="1013B2A1"/>
    <w:rsid w:val="1120CFC7"/>
    <w:rsid w:val="11F04087"/>
    <w:rsid w:val="11F9689B"/>
    <w:rsid w:val="1237B826"/>
    <w:rsid w:val="1237F63C"/>
    <w:rsid w:val="132B5740"/>
    <w:rsid w:val="137EF950"/>
    <w:rsid w:val="13C1E0E0"/>
    <w:rsid w:val="1513D2ED"/>
    <w:rsid w:val="151F8016"/>
    <w:rsid w:val="15737A1A"/>
    <w:rsid w:val="16485BAA"/>
    <w:rsid w:val="16867C78"/>
    <w:rsid w:val="169EEFD4"/>
    <w:rsid w:val="17CE27EB"/>
    <w:rsid w:val="181679AC"/>
    <w:rsid w:val="181C23BF"/>
    <w:rsid w:val="1837B56F"/>
    <w:rsid w:val="19016322"/>
    <w:rsid w:val="191C0C1D"/>
    <w:rsid w:val="1947B10A"/>
    <w:rsid w:val="1995359E"/>
    <w:rsid w:val="1A97633A"/>
    <w:rsid w:val="1AFCA9C8"/>
    <w:rsid w:val="1B2DAA8E"/>
    <w:rsid w:val="1BB4C6E4"/>
    <w:rsid w:val="1C559119"/>
    <w:rsid w:val="1C68E0BA"/>
    <w:rsid w:val="1C9C9CE9"/>
    <w:rsid w:val="1CB1477C"/>
    <w:rsid w:val="1CBFA481"/>
    <w:rsid w:val="1CCE910B"/>
    <w:rsid w:val="1D8E5A7D"/>
    <w:rsid w:val="1DA17F20"/>
    <w:rsid w:val="1DBA2A0A"/>
    <w:rsid w:val="1DC253FE"/>
    <w:rsid w:val="1E1B222D"/>
    <w:rsid w:val="1E21C2B8"/>
    <w:rsid w:val="1E33DDA4"/>
    <w:rsid w:val="1E4D17DD"/>
    <w:rsid w:val="1E81074C"/>
    <w:rsid w:val="1E95F390"/>
    <w:rsid w:val="1EFE705F"/>
    <w:rsid w:val="1FD16843"/>
    <w:rsid w:val="1FDF08D6"/>
    <w:rsid w:val="2036003F"/>
    <w:rsid w:val="21CD9452"/>
    <w:rsid w:val="22EC68B0"/>
    <w:rsid w:val="23CA6583"/>
    <w:rsid w:val="25899DE4"/>
    <w:rsid w:val="259EBAE9"/>
    <w:rsid w:val="269869E8"/>
    <w:rsid w:val="27C53734"/>
    <w:rsid w:val="2871F2B4"/>
    <w:rsid w:val="28C13EA6"/>
    <w:rsid w:val="28C70E56"/>
    <w:rsid w:val="28E04228"/>
    <w:rsid w:val="299034C4"/>
    <w:rsid w:val="2A43E6AA"/>
    <w:rsid w:val="2A62DEB7"/>
    <w:rsid w:val="2A6812FF"/>
    <w:rsid w:val="2A87AEA9"/>
    <w:rsid w:val="2B312F3F"/>
    <w:rsid w:val="2B50D1FA"/>
    <w:rsid w:val="2B8EF428"/>
    <w:rsid w:val="2C003CBF"/>
    <w:rsid w:val="2C21BAE9"/>
    <w:rsid w:val="2C601491"/>
    <w:rsid w:val="2C7F7FFA"/>
    <w:rsid w:val="2CCCF92D"/>
    <w:rsid w:val="2D2AC489"/>
    <w:rsid w:val="2DC6C7EB"/>
    <w:rsid w:val="2E33AD58"/>
    <w:rsid w:val="2F8F5724"/>
    <w:rsid w:val="2FB720BC"/>
    <w:rsid w:val="3024431D"/>
    <w:rsid w:val="3036D47B"/>
    <w:rsid w:val="30A066F9"/>
    <w:rsid w:val="30CD737B"/>
    <w:rsid w:val="30D3FFAD"/>
    <w:rsid w:val="313529D4"/>
    <w:rsid w:val="3170D43F"/>
    <w:rsid w:val="33118CDB"/>
    <w:rsid w:val="3356158E"/>
    <w:rsid w:val="33B450F4"/>
    <w:rsid w:val="341BAD51"/>
    <w:rsid w:val="342D5E4F"/>
    <w:rsid w:val="346484C9"/>
    <w:rsid w:val="347DD442"/>
    <w:rsid w:val="34C14254"/>
    <w:rsid w:val="3508EF17"/>
    <w:rsid w:val="35CD03B6"/>
    <w:rsid w:val="35D3D6DA"/>
    <w:rsid w:val="363A3B66"/>
    <w:rsid w:val="366141AB"/>
    <w:rsid w:val="3687E2DB"/>
    <w:rsid w:val="36880D61"/>
    <w:rsid w:val="3698742E"/>
    <w:rsid w:val="3818C1FC"/>
    <w:rsid w:val="38543543"/>
    <w:rsid w:val="38C40713"/>
    <w:rsid w:val="3935CA16"/>
    <w:rsid w:val="3985B114"/>
    <w:rsid w:val="3A89AE51"/>
    <w:rsid w:val="3C31A9B5"/>
    <w:rsid w:val="3C98DAE5"/>
    <w:rsid w:val="3D0E7E09"/>
    <w:rsid w:val="3EAA4E6A"/>
    <w:rsid w:val="3F8E82F0"/>
    <w:rsid w:val="3FE5C900"/>
    <w:rsid w:val="40713CFA"/>
    <w:rsid w:val="40D8ACB8"/>
    <w:rsid w:val="40E1E990"/>
    <w:rsid w:val="40E40531"/>
    <w:rsid w:val="410A1502"/>
    <w:rsid w:val="4153886C"/>
    <w:rsid w:val="4158152B"/>
    <w:rsid w:val="419FC55C"/>
    <w:rsid w:val="41CA88A4"/>
    <w:rsid w:val="422A417D"/>
    <w:rsid w:val="423DAFD1"/>
    <w:rsid w:val="427BD09F"/>
    <w:rsid w:val="432CD351"/>
    <w:rsid w:val="441DF912"/>
    <w:rsid w:val="44571E80"/>
    <w:rsid w:val="46447390"/>
    <w:rsid w:val="46B12AEA"/>
    <w:rsid w:val="46E8729E"/>
    <w:rsid w:val="46F7B537"/>
    <w:rsid w:val="474A45C6"/>
    <w:rsid w:val="4909566F"/>
    <w:rsid w:val="49865833"/>
    <w:rsid w:val="4A12EF8F"/>
    <w:rsid w:val="4AC7880A"/>
    <w:rsid w:val="4AD649B0"/>
    <w:rsid w:val="4AFA05F1"/>
    <w:rsid w:val="4AFD0C7B"/>
    <w:rsid w:val="4C655793"/>
    <w:rsid w:val="4CEA6589"/>
    <w:rsid w:val="4E31A6B3"/>
    <w:rsid w:val="4E70678C"/>
    <w:rsid w:val="4F223285"/>
    <w:rsid w:val="4F26ED4A"/>
    <w:rsid w:val="4F6BB168"/>
    <w:rsid w:val="4FA08FBD"/>
    <w:rsid w:val="50187050"/>
    <w:rsid w:val="508C8979"/>
    <w:rsid w:val="50E461E2"/>
    <w:rsid w:val="51662BDA"/>
    <w:rsid w:val="51A8CF81"/>
    <w:rsid w:val="52AA5492"/>
    <w:rsid w:val="52E78BEE"/>
    <w:rsid w:val="53143331"/>
    <w:rsid w:val="546BE094"/>
    <w:rsid w:val="553536AB"/>
    <w:rsid w:val="57158BE6"/>
    <w:rsid w:val="576F3C64"/>
    <w:rsid w:val="5781C6AB"/>
    <w:rsid w:val="57892BF4"/>
    <w:rsid w:val="57A37678"/>
    <w:rsid w:val="57A64853"/>
    <w:rsid w:val="582D9F3E"/>
    <w:rsid w:val="5878A9DC"/>
    <w:rsid w:val="58C24D54"/>
    <w:rsid w:val="58CDCF90"/>
    <w:rsid w:val="590E989A"/>
    <w:rsid w:val="5A1744A6"/>
    <w:rsid w:val="5A29017F"/>
    <w:rsid w:val="5A7726EB"/>
    <w:rsid w:val="5AD95CA0"/>
    <w:rsid w:val="5B3BE5B5"/>
    <w:rsid w:val="5B57BF62"/>
    <w:rsid w:val="5C057052"/>
    <w:rsid w:val="5C48AECA"/>
    <w:rsid w:val="5C786991"/>
    <w:rsid w:val="5C8919FF"/>
    <w:rsid w:val="5D26D2E4"/>
    <w:rsid w:val="5D680088"/>
    <w:rsid w:val="5E35E8EC"/>
    <w:rsid w:val="5E9503A6"/>
    <w:rsid w:val="5EB304A1"/>
    <w:rsid w:val="5F03D0E9"/>
    <w:rsid w:val="60531B49"/>
    <w:rsid w:val="605559FB"/>
    <w:rsid w:val="609E162D"/>
    <w:rsid w:val="60B7449B"/>
    <w:rsid w:val="61177175"/>
    <w:rsid w:val="6158F45D"/>
    <w:rsid w:val="618D2C95"/>
    <w:rsid w:val="6206407D"/>
    <w:rsid w:val="63358433"/>
    <w:rsid w:val="63B6D2B4"/>
    <w:rsid w:val="640C4186"/>
    <w:rsid w:val="6451D33C"/>
    <w:rsid w:val="64BEF987"/>
    <w:rsid w:val="64E05670"/>
    <w:rsid w:val="65D06770"/>
    <w:rsid w:val="65EA5700"/>
    <w:rsid w:val="663E99A8"/>
    <w:rsid w:val="66CB3FF2"/>
    <w:rsid w:val="6782062F"/>
    <w:rsid w:val="687863F6"/>
    <w:rsid w:val="68B137C6"/>
    <w:rsid w:val="68C9888E"/>
    <w:rsid w:val="68E6CB73"/>
    <w:rsid w:val="69080832"/>
    <w:rsid w:val="6940EACE"/>
    <w:rsid w:val="6AA3D893"/>
    <w:rsid w:val="6AA9F896"/>
    <w:rsid w:val="6C0ADB14"/>
    <w:rsid w:val="6C599884"/>
    <w:rsid w:val="6DF147B3"/>
    <w:rsid w:val="6E44851C"/>
    <w:rsid w:val="6E831DBC"/>
    <w:rsid w:val="6E83E143"/>
    <w:rsid w:val="6F21E2B9"/>
    <w:rsid w:val="6F7BEC35"/>
    <w:rsid w:val="7030A5A0"/>
    <w:rsid w:val="704A2A92"/>
    <w:rsid w:val="70A1CD11"/>
    <w:rsid w:val="70B3028D"/>
    <w:rsid w:val="7159B416"/>
    <w:rsid w:val="71D95638"/>
    <w:rsid w:val="724C3568"/>
    <w:rsid w:val="7292C326"/>
    <w:rsid w:val="72C533C7"/>
    <w:rsid w:val="73384343"/>
    <w:rsid w:val="744E6CCC"/>
    <w:rsid w:val="7477BB20"/>
    <w:rsid w:val="75257B8D"/>
    <w:rsid w:val="757C11FA"/>
    <w:rsid w:val="75823AAF"/>
    <w:rsid w:val="758D4CD1"/>
    <w:rsid w:val="75CA63E8"/>
    <w:rsid w:val="75F1BF56"/>
    <w:rsid w:val="76086850"/>
    <w:rsid w:val="7731A378"/>
    <w:rsid w:val="774B8848"/>
    <w:rsid w:val="77503EAD"/>
    <w:rsid w:val="785CF631"/>
    <w:rsid w:val="788521A3"/>
    <w:rsid w:val="79255A57"/>
    <w:rsid w:val="792C0D21"/>
    <w:rsid w:val="79400912"/>
    <w:rsid w:val="79B03F43"/>
    <w:rsid w:val="7A60E6F7"/>
    <w:rsid w:val="7AF0ACF8"/>
    <w:rsid w:val="7B0EF280"/>
    <w:rsid w:val="7B2F88BC"/>
    <w:rsid w:val="7BD42398"/>
    <w:rsid w:val="7C5C47DF"/>
    <w:rsid w:val="7D306754"/>
    <w:rsid w:val="7D5892C6"/>
    <w:rsid w:val="7DA5296A"/>
    <w:rsid w:val="7E3F32C7"/>
    <w:rsid w:val="7ED93F48"/>
    <w:rsid w:val="7FAD2CC0"/>
    <w:rsid w:val="7FF49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AC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39"/>
  </w:style>
  <w:style w:type="paragraph" w:styleId="Footer">
    <w:name w:val="footer"/>
    <w:basedOn w:val="Normal"/>
    <w:link w:val="FooterChar"/>
    <w:uiPriority w:val="99"/>
    <w:unhideWhenUsed/>
    <w:rsid w:val="00E94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3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oporetech.com/applications/dna-nanopore-sequenci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github.com/zihengluo/ont-plasmid-assembly-and-reads-mappin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abArchives xmlns:xsi="http://www.w3.org/2001/XMLSchema-instance" xmlns:xsd="http://www.w3.org/2001/XMLSchema">
  <BaseUri>https://au-mynotebook.labarchives.com</BaseUri>
  <eid>MTI3MTkuMnw3MjAxMC85Nzg0L0VudHJ5UGFydC80Mjk0NTQ0MTd8MzIyODcuMTk5OTk5OTk5OTk3</eid>
  <version>1</version>
  <updated-at>2023-05-11T22:59:56Z</updated-at>
</LabArchives>
</file>

<file path=customXml/itemProps1.xml><?xml version="1.0" encoding="utf-8"?>
<ds:datastoreItem xmlns:ds="http://schemas.openxmlformats.org/officeDocument/2006/customXml" ds:itemID="{A1CD26B8-CE61-4901-A787-62AEBDED27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dcterms:created xsi:type="dcterms:W3CDTF">2011-01-26T18:32:00Z</dcterms:created>
  <dcterms:modified xsi:type="dcterms:W3CDTF">2025-01-17T03:41:00Z</dcterms:modified>
</cp:coreProperties>
</file>